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8E032" w14:textId="77777777" w:rsidR="002D3AEB" w:rsidRPr="002D3AEB" w:rsidRDefault="002D3AEB" w:rsidP="002D3AEB">
      <w:pPr>
        <w:pStyle w:val="Default"/>
        <w:rPr>
          <w:sz w:val="22"/>
          <w:szCs w:val="22"/>
          <w:lang w:val="it-IT"/>
        </w:rPr>
      </w:pPr>
      <w:bookmarkStart w:id="0" w:name="_GoBack"/>
      <w:bookmarkEnd w:id="0"/>
      <w:r w:rsidRPr="002D3AEB">
        <w:rPr>
          <w:b/>
          <w:bCs/>
          <w:sz w:val="22"/>
          <w:szCs w:val="22"/>
          <w:lang w:val="it-IT"/>
        </w:rPr>
        <w:t xml:space="preserve">ULTERIORI CHIARIMENTI RESI NOTI CON L’ELENCO FAQ N.3 PUBBLICATE IL 1 SETTEMBRE ED EMERSI NELL’INCONTRO DEL 2 SETTEMBRE 2022 </w:t>
      </w:r>
    </w:p>
    <w:p w14:paraId="1CFDAA38" w14:textId="77777777" w:rsidR="002D3AEB" w:rsidRPr="002D3AEB" w:rsidRDefault="002D3AEB" w:rsidP="002D3AEB">
      <w:pPr>
        <w:pStyle w:val="Default"/>
        <w:rPr>
          <w:sz w:val="22"/>
          <w:szCs w:val="22"/>
          <w:lang w:val="it-IT"/>
        </w:rPr>
      </w:pPr>
      <w:r w:rsidRPr="002D3AEB">
        <w:rPr>
          <w:b/>
          <w:bCs/>
          <w:sz w:val="22"/>
          <w:szCs w:val="22"/>
          <w:lang w:val="it-IT"/>
        </w:rPr>
        <w:t xml:space="preserve">NOLEGGIO SENZA CONDUCENTE – ESSERE UTILIZZATO L’IMPRESA DEVE POSSEDERE </w:t>
      </w:r>
    </w:p>
    <w:p w14:paraId="4A77E7D5" w14:textId="77777777" w:rsidR="002D3AEB" w:rsidRPr="002D3AEB" w:rsidRDefault="002D3AEB" w:rsidP="002D3AEB">
      <w:pPr>
        <w:pStyle w:val="Default"/>
        <w:rPr>
          <w:sz w:val="22"/>
          <w:szCs w:val="22"/>
          <w:lang w:val="it-IT"/>
        </w:rPr>
      </w:pPr>
      <w:r w:rsidRPr="002D3AEB">
        <w:rPr>
          <w:sz w:val="22"/>
          <w:szCs w:val="22"/>
          <w:lang w:val="it-IT"/>
        </w:rPr>
        <w:t xml:space="preserve">È stato chiarito, anche grazie al nostro intervento, che il beneficio può essere richiesto anche nel caso di veicoli in disponibilità con contratto di locazione senza conducente che, come noto, non ha l’obbligo di registrazione. </w:t>
      </w:r>
    </w:p>
    <w:p w14:paraId="7505A6C6" w14:textId="77777777" w:rsidR="002D3AEB" w:rsidRPr="002D3AEB" w:rsidRDefault="002D3AEB" w:rsidP="002D3AEB">
      <w:pPr>
        <w:pStyle w:val="Default"/>
        <w:rPr>
          <w:sz w:val="23"/>
          <w:szCs w:val="23"/>
          <w:lang w:val="it-IT"/>
        </w:rPr>
      </w:pPr>
      <w:r w:rsidRPr="002D3AEB">
        <w:rPr>
          <w:b/>
          <w:bCs/>
          <w:sz w:val="22"/>
          <w:szCs w:val="22"/>
          <w:lang w:val="it-IT"/>
        </w:rPr>
        <w:t xml:space="preserve">Le FAQ n.3 (pubblicate il 1.9.2022 </w:t>
      </w:r>
      <w:r w:rsidRPr="002D3AEB">
        <w:rPr>
          <w:sz w:val="22"/>
          <w:szCs w:val="22"/>
          <w:lang w:val="it-IT"/>
        </w:rPr>
        <w:t xml:space="preserve">= </w:t>
      </w:r>
      <w:r w:rsidRPr="002D3AEB">
        <w:rPr>
          <w:sz w:val="23"/>
          <w:szCs w:val="23"/>
          <w:lang w:val="it-IT"/>
        </w:rPr>
        <w:t xml:space="preserve">https://www.adm.gov.it/portale/-/credito-d-imposta-per-gli-autotrasportatori) ai </w:t>
      </w:r>
      <w:r w:rsidRPr="002D3AEB">
        <w:rPr>
          <w:b/>
          <w:bCs/>
          <w:sz w:val="23"/>
          <w:szCs w:val="23"/>
          <w:lang w:val="it-IT"/>
        </w:rPr>
        <w:t xml:space="preserve">punti 1, 6,9 e 25 chiariscono infatti </w:t>
      </w:r>
      <w:r w:rsidRPr="002D3AEB">
        <w:rPr>
          <w:sz w:val="23"/>
          <w:szCs w:val="23"/>
          <w:lang w:val="it-IT"/>
        </w:rPr>
        <w:t xml:space="preserve">che </w:t>
      </w:r>
      <w:r w:rsidRPr="002D3AEB">
        <w:rPr>
          <w:b/>
          <w:bCs/>
          <w:i/>
          <w:iCs/>
          <w:sz w:val="23"/>
          <w:szCs w:val="23"/>
          <w:lang w:val="it-IT"/>
        </w:rPr>
        <w:t xml:space="preserve">“ in alternativa alla registrazione potrà essere prodotta copia della documentazione in possesso dell’impresa ed atta a dimostrare l’effettiva vigenza ed efficacia del contratto di locazione nel periodo per il quale si richiede il ristoro (contratto con data certa, fatture quietanzate con indicazione del contratto e delle targhe dei veicoli noleggiati, PEC o e-mail con contratto firmato allegato …. )”. </w:t>
      </w:r>
    </w:p>
    <w:p w14:paraId="54353533" w14:textId="1108BE35" w:rsidR="002D3AEB" w:rsidRDefault="002D3AEB" w:rsidP="002D3AEB">
      <w:pPr>
        <w:rPr>
          <w:b/>
          <w:bCs/>
          <w:sz w:val="23"/>
          <w:szCs w:val="23"/>
          <w:lang w:val="it-IT"/>
        </w:rPr>
      </w:pPr>
      <w:r w:rsidRPr="002D3AEB">
        <w:rPr>
          <w:sz w:val="23"/>
          <w:szCs w:val="23"/>
          <w:lang w:val="it-IT"/>
        </w:rPr>
        <w:t xml:space="preserve">Durante l’open hearing è stato poi specificato che la suddetta documentazione a riprova della sussistenza e validità del contratto di locazione, </w:t>
      </w:r>
      <w:r w:rsidRPr="002D3AEB">
        <w:rPr>
          <w:b/>
          <w:bCs/>
          <w:sz w:val="23"/>
          <w:szCs w:val="23"/>
          <w:lang w:val="it-IT"/>
        </w:rPr>
        <w:t>NON DOVRÀ ESSERE ALLEGATA all’istanza ma tenuta agli atti dall’impresa interessata.</w:t>
      </w:r>
    </w:p>
    <w:p w14:paraId="272ABAC9" w14:textId="77777777" w:rsidR="002D3AEB" w:rsidRPr="002D3AEB" w:rsidRDefault="002D3AEB" w:rsidP="002D3AEB">
      <w:pPr>
        <w:pStyle w:val="Default"/>
        <w:rPr>
          <w:sz w:val="22"/>
          <w:szCs w:val="22"/>
          <w:lang w:val="it-IT"/>
        </w:rPr>
      </w:pPr>
      <w:r w:rsidRPr="002D3AEB">
        <w:rPr>
          <w:b/>
          <w:bCs/>
          <w:sz w:val="22"/>
          <w:szCs w:val="22"/>
          <w:lang w:val="it-IT"/>
        </w:rPr>
        <w:t xml:space="preserve">PERIODO DI RIFERIMENTO DEI DEBITI DA COMPENSARE CON IL CREDITO DI IMPOSTA </w:t>
      </w:r>
    </w:p>
    <w:p w14:paraId="2D4C6AB7" w14:textId="77777777" w:rsidR="002D3AEB" w:rsidRPr="002D3AEB" w:rsidRDefault="002D3AEB" w:rsidP="002D3AEB">
      <w:pPr>
        <w:pStyle w:val="Default"/>
        <w:rPr>
          <w:sz w:val="22"/>
          <w:szCs w:val="22"/>
          <w:lang w:val="it-IT"/>
        </w:rPr>
      </w:pPr>
      <w:r w:rsidRPr="002D3AEB">
        <w:rPr>
          <w:sz w:val="22"/>
          <w:szCs w:val="22"/>
          <w:lang w:val="it-IT"/>
        </w:rPr>
        <w:t xml:space="preserve">È stato chiarito che il credito di imposta potrà essere usato </w:t>
      </w:r>
      <w:r w:rsidRPr="002D3AEB">
        <w:rPr>
          <w:b/>
          <w:bCs/>
          <w:sz w:val="22"/>
          <w:szCs w:val="22"/>
          <w:lang w:val="it-IT"/>
        </w:rPr>
        <w:t xml:space="preserve">anche per i debiti fiscali sorti dopo l’anno 2022. </w:t>
      </w:r>
    </w:p>
    <w:p w14:paraId="67A6C313" w14:textId="77777777" w:rsidR="002D3AEB" w:rsidRPr="002D3AEB" w:rsidRDefault="002D3AEB" w:rsidP="002D3AEB">
      <w:pPr>
        <w:pStyle w:val="Default"/>
        <w:rPr>
          <w:sz w:val="22"/>
          <w:szCs w:val="22"/>
          <w:lang w:val="it-IT"/>
        </w:rPr>
      </w:pPr>
      <w:r w:rsidRPr="002D3AEB">
        <w:rPr>
          <w:sz w:val="22"/>
          <w:szCs w:val="22"/>
          <w:lang w:val="it-IT"/>
        </w:rPr>
        <w:t xml:space="preserve">Se, ad esempio, dopo aver compensato tutti i debiti sorti nel 2022, nel cassetto fiscale si dispone di ulteriore credito di imposta, questa quota residua può essere utilizzata anche per compensare i debiti sorti negli anni successivi al 2022. </w:t>
      </w:r>
    </w:p>
    <w:p w14:paraId="03968C85" w14:textId="77777777" w:rsidR="002D3AEB" w:rsidRPr="002D3AEB" w:rsidRDefault="002D3AEB" w:rsidP="002D3AEB">
      <w:pPr>
        <w:pStyle w:val="Default"/>
        <w:rPr>
          <w:sz w:val="22"/>
          <w:szCs w:val="22"/>
          <w:lang w:val="it-IT"/>
        </w:rPr>
      </w:pPr>
      <w:r w:rsidRPr="002D3AEB">
        <w:rPr>
          <w:sz w:val="22"/>
          <w:szCs w:val="22"/>
          <w:lang w:val="it-IT"/>
        </w:rPr>
        <w:t xml:space="preserve">CISTERNE SPROVVISTE DI AUTORIZZAZIONI AMMINISTRATIVE RELATIVE ALL’INSTALLAZIONE </w:t>
      </w:r>
    </w:p>
    <w:p w14:paraId="1775A137" w14:textId="41996AE9" w:rsidR="002D3AEB" w:rsidRPr="002D3AEB" w:rsidRDefault="002D3AEB" w:rsidP="002D3AEB">
      <w:pPr>
        <w:rPr>
          <w:lang w:val="it-IT"/>
        </w:rPr>
      </w:pPr>
      <w:r w:rsidRPr="002D3AEB">
        <w:rPr>
          <w:lang w:val="it-IT"/>
        </w:rPr>
        <w:t>I dirigenti presenti all’incontro del 2 Settembre 2022 dichiarano che non è di loro competenza l’eventualità in cui il carburante venisse prelevato da cisterne carenti della eventuale autorizzazione amministrativa relativa alla loro installazione.</w:t>
      </w:r>
    </w:p>
    <w:sectPr w:rsidR="002D3AEB" w:rsidRPr="002D3A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EB"/>
    <w:rsid w:val="002D3AEB"/>
    <w:rsid w:val="00A3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0045"/>
  <w15:chartTrackingRefBased/>
  <w15:docId w15:val="{34F24053-9222-4E12-BDE4-4C1F7515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D3AE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4</DocSecurity>
  <Lines>14</Lines>
  <Paragraphs>3</Paragraphs>
  <ScaleCrop>false</ScaleCrop>
  <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Francini</dc:creator>
  <cp:keywords/>
  <dc:description/>
  <cp:lastModifiedBy>Camilla Evi</cp:lastModifiedBy>
  <cp:revision>2</cp:revision>
  <dcterms:created xsi:type="dcterms:W3CDTF">2022-09-05T09:53:00Z</dcterms:created>
  <dcterms:modified xsi:type="dcterms:W3CDTF">2022-09-05T09:53:00Z</dcterms:modified>
</cp:coreProperties>
</file>