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7DB7" w:rsidRDefault="007370FC">
      <w:pPr>
        <w:pStyle w:val="WW-Stilepredefinito"/>
        <w:jc w:val="center"/>
      </w:pPr>
      <w:r>
        <w:rPr>
          <w:rFonts w:ascii="Palatino Linotype" w:eastAsia="Palatino Linotype" w:hAnsi="Palatino Linotype" w:cs="Palatino Linotype"/>
          <w:i/>
          <w:color w:val="FF0000"/>
          <w:sz w:val="28"/>
          <w:szCs w:val="22"/>
        </w:rPr>
        <w:t xml:space="preserve">         </w:t>
      </w:r>
      <w:r>
        <w:rPr>
          <w:rFonts w:ascii="Calibri" w:hAnsi="Calibri" w:cs="Calibri"/>
          <w:b/>
          <w:color w:val="3465A4"/>
          <w:sz w:val="32"/>
          <w:szCs w:val="32"/>
          <w:u w:val="single"/>
        </w:rPr>
        <w:t>REGIONE TOSCANA - AZIONI A SOSTEGNO DELLE IMPRESE</w:t>
      </w:r>
    </w:p>
    <w:p w:rsidR="00997DB7" w:rsidRDefault="007370FC">
      <w:pPr>
        <w:pStyle w:val="WW-Stilepredefinito"/>
        <w:spacing w:line="100" w:lineRule="atLeast"/>
        <w:jc w:val="center"/>
      </w:pPr>
      <w:r>
        <w:rPr>
          <w:rFonts w:ascii="Calibri" w:hAnsi="Calibri" w:cs="Calibri"/>
          <w:b/>
          <w:color w:val="3465A4"/>
          <w:sz w:val="32"/>
          <w:szCs w:val="32"/>
          <w:u w:val="single"/>
        </w:rPr>
        <w:t>POR FESR 2021-2027</w:t>
      </w:r>
    </w:p>
    <w:p w:rsidR="00997DB7" w:rsidRDefault="00997DB7">
      <w:pPr>
        <w:pStyle w:val="WW-Stilepredefinito"/>
        <w:spacing w:line="100" w:lineRule="atLeast"/>
        <w:jc w:val="center"/>
        <w:rPr>
          <w:rFonts w:ascii="Calibri" w:hAnsi="Calibri" w:cs="Calibri"/>
          <w:b/>
          <w:i/>
          <w:sz w:val="32"/>
          <w:szCs w:val="32"/>
        </w:rPr>
      </w:pPr>
    </w:p>
    <w:p w:rsidR="00997DB7" w:rsidRDefault="007370FC">
      <w:pPr>
        <w:pStyle w:val="WW-Stilepredefinito"/>
        <w:spacing w:after="240"/>
        <w:jc w:val="center"/>
      </w:pPr>
      <w:r>
        <w:rPr>
          <w:rStyle w:val="Enfasigrassetto"/>
          <w:rFonts w:ascii="Calibri" w:hAnsi="Calibri" w:cs="Calibri"/>
          <w:color w:val="3465A4"/>
          <w:sz w:val="32"/>
          <w:szCs w:val="32"/>
        </w:rPr>
        <w:t>Azione 1.1.3 – Sostegno per l’acquisto di servizi innovativi per la transizione digitale</w:t>
      </w:r>
    </w:p>
    <w:p w:rsidR="00997DB7" w:rsidRDefault="007370FC">
      <w:pPr>
        <w:pStyle w:val="WW-Stilepredefinito"/>
        <w:numPr>
          <w:ilvl w:val="0"/>
          <w:numId w:val="7"/>
        </w:numPr>
        <w:spacing w:after="240"/>
        <w:jc w:val="both"/>
      </w:pPr>
      <w:r>
        <w:rPr>
          <w:rFonts w:ascii="Calibri" w:hAnsi="Calibri" w:cs="Calibri"/>
        </w:rPr>
        <w:t>Investimenti in innovazione: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riguarderanno soprattutto l’acquisizione di servizi qualificati (consulenze particolari) per la transizione digitale dei processi produttivi nelle PMI (innovazione di prodotto, di processo e organizzativa), su questi temi occorrerà verificare la situazione del Catalogo dei servizi che potrebbe richiedere un aggiornamento.</w:t>
      </w:r>
    </w:p>
    <w:p w:rsidR="00997DB7" w:rsidRDefault="007370FC">
      <w:pPr>
        <w:pStyle w:val="WW-Stilepredefinito"/>
        <w:numPr>
          <w:ilvl w:val="0"/>
          <w:numId w:val="7"/>
        </w:numPr>
        <w:spacing w:after="240"/>
        <w:jc w:val="both"/>
      </w:pPr>
      <w:r>
        <w:rPr>
          <w:rFonts w:ascii="Calibri" w:hAnsi="Calibri" w:cs="Calibri"/>
        </w:rPr>
        <w:t>Investimenti di carattere strategico o sperimentale su specifici ambiti tecnologici, filiere produttive, aree territoriali e per obiettivi di sostenibilità.</w:t>
      </w:r>
    </w:p>
    <w:p w:rsidR="00997DB7" w:rsidRDefault="007370FC">
      <w:pPr>
        <w:pStyle w:val="NormaleWeb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Tipologia di agevolazione è il contributo a fondo perduto dove l’intensità di aiuto: varia in funzione della dimensione di impresa e della combinazione di servizi acquisiti da un minimo del 35% al 70% mediante applicazione di meccanismi di premialità.</w:t>
      </w:r>
    </w:p>
    <w:p w:rsidR="00BA36C4" w:rsidRDefault="00BA36C4">
      <w:pPr>
        <w:pStyle w:val="NormaleWeb1"/>
        <w:jc w:val="both"/>
      </w:pPr>
      <w:r>
        <w:rPr>
          <w:rFonts w:ascii="Calibri" w:hAnsi="Calibri" w:cs="Calibri"/>
        </w:rPr>
        <w:t xml:space="preserve">Sono finanziabili progetti </w:t>
      </w:r>
      <w:r w:rsidRPr="00BA36C4">
        <w:rPr>
          <w:rFonts w:ascii="Calibri" w:hAnsi="Calibri" w:cs="Calibri"/>
          <w:u w:val="single"/>
        </w:rPr>
        <w:t>da avviare dopo la domanda</w:t>
      </w:r>
    </w:p>
    <w:p w:rsidR="00997DB7" w:rsidRDefault="007370FC">
      <w:pPr>
        <w:pStyle w:val="NormaleWeb1"/>
        <w:jc w:val="both"/>
      </w:pPr>
      <w:r>
        <w:rPr>
          <w:rFonts w:ascii="Calibri" w:hAnsi="Calibri" w:cs="Calibri"/>
        </w:rPr>
        <w:t>Lo Strumento di attuazione è il Bando/Avviso pubblico con procedura automatica a sportello che prevederà:</w:t>
      </w:r>
    </w:p>
    <w:p w:rsidR="00997DB7" w:rsidRDefault="007370FC">
      <w:pPr>
        <w:pStyle w:val="NormaleWeb1"/>
        <w:numPr>
          <w:ilvl w:val="0"/>
          <w:numId w:val="4"/>
        </w:numPr>
        <w:spacing w:after="0"/>
        <w:jc w:val="both"/>
      </w:pPr>
      <w:r>
        <w:rPr>
          <w:rFonts w:ascii="Calibri" w:hAnsi="Calibri" w:cs="Calibri"/>
          <w:b/>
          <w:bCs/>
        </w:rPr>
        <w:t xml:space="preserve">Sezione </w:t>
      </w:r>
      <w:r>
        <w:rPr>
          <w:rFonts w:ascii="Calibri" w:hAnsi="Calibri" w:cs="Calibri"/>
          <w:b/>
          <w:bCs/>
          <w:u w:val="single"/>
        </w:rPr>
        <w:t>DIGITALE &amp; INTELLIGENTE</w:t>
      </w:r>
      <w:r>
        <w:rPr>
          <w:rFonts w:ascii="Calibri" w:hAnsi="Calibri" w:cs="Calibri"/>
        </w:rPr>
        <w:t xml:space="preserve">: € 18.000.000 di risorse (di </w:t>
      </w:r>
      <w:proofErr w:type="gramStart"/>
      <w:r>
        <w:rPr>
          <w:rFonts w:ascii="Calibri" w:hAnsi="Calibri" w:cs="Calibri"/>
        </w:rPr>
        <w:t>cui  3</w:t>
      </w:r>
      <w:proofErr w:type="gramEnd"/>
      <w:r>
        <w:rPr>
          <w:rFonts w:ascii="Calibri" w:hAnsi="Calibri" w:cs="Calibri"/>
        </w:rPr>
        <w:t xml:space="preserve"> milioni al settore Turismo e Commercio e 3milioni per la  Cybersecurity) con  l’obiettivo di supportare le imprese nella transizione digitale mediante l’utilizzo di tecnologie digitali e altre tecnologie di base e abilitanti </w:t>
      </w:r>
      <w:r>
        <w:rPr>
          <w:rFonts w:ascii="Calibri" w:hAnsi="Calibri" w:cs="Calibri"/>
          <w:i/>
          <w:iCs/>
        </w:rPr>
        <w:t xml:space="preserve">dando priorità agli interventi connessi con l’utilizzo di tecnologie emergenti fortemente abilitanti </w:t>
      </w:r>
      <w:r>
        <w:rPr>
          <w:rFonts w:ascii="Calibri" w:hAnsi="Calibri" w:cs="Calibri"/>
        </w:rPr>
        <w:t>che consentono di fare integrazione con soluzioni digitali dei settori chiave</w:t>
      </w:r>
    </w:p>
    <w:p w:rsidR="00997DB7" w:rsidRDefault="007370FC">
      <w:pPr>
        <w:pStyle w:val="NormaleWeb1"/>
        <w:numPr>
          <w:ilvl w:val="1"/>
          <w:numId w:val="4"/>
        </w:numPr>
        <w:spacing w:before="0" w:after="0"/>
        <w:jc w:val="both"/>
      </w:pPr>
      <w:r>
        <w:rPr>
          <w:rFonts w:ascii="Calibri" w:hAnsi="Calibri" w:cs="Calibri"/>
          <w:i/>
          <w:iCs/>
        </w:rPr>
        <w:t>Manifattura avanzata e additiva</w:t>
      </w:r>
    </w:p>
    <w:p w:rsidR="00997DB7" w:rsidRDefault="007370FC">
      <w:pPr>
        <w:pStyle w:val="NormaleWeb1"/>
        <w:numPr>
          <w:ilvl w:val="1"/>
          <w:numId w:val="4"/>
        </w:numPr>
        <w:spacing w:before="0" w:after="0"/>
        <w:jc w:val="both"/>
      </w:pPr>
      <w:r>
        <w:rPr>
          <w:rFonts w:ascii="Calibri" w:hAnsi="Calibri" w:cs="Calibri"/>
          <w:i/>
          <w:iCs/>
        </w:rPr>
        <w:t>Realtà Aumentata e Simulazione</w:t>
      </w:r>
    </w:p>
    <w:p w:rsidR="00997DB7" w:rsidRDefault="007370FC">
      <w:pPr>
        <w:pStyle w:val="NormaleWeb1"/>
        <w:numPr>
          <w:ilvl w:val="1"/>
          <w:numId w:val="4"/>
        </w:numPr>
        <w:spacing w:before="0" w:after="0"/>
        <w:jc w:val="both"/>
      </w:pPr>
      <w:r>
        <w:rPr>
          <w:rFonts w:ascii="Calibri" w:hAnsi="Calibri" w:cs="Calibri"/>
          <w:i/>
          <w:iCs/>
        </w:rPr>
        <w:t>Intelligenza Artificiale e Blocchi concatenati</w:t>
      </w:r>
    </w:p>
    <w:p w:rsidR="00997DB7" w:rsidRDefault="007370FC">
      <w:pPr>
        <w:pStyle w:val="NormaleWeb1"/>
        <w:numPr>
          <w:ilvl w:val="1"/>
          <w:numId w:val="4"/>
        </w:numPr>
        <w:spacing w:before="0"/>
        <w:jc w:val="both"/>
      </w:pPr>
      <w:r>
        <w:rPr>
          <w:rFonts w:ascii="Calibri" w:hAnsi="Calibri" w:cs="Calibri"/>
          <w:i/>
          <w:iCs/>
        </w:rPr>
        <w:t>Rete di comunicazione industriale e Rete intelligente di tipo3</w:t>
      </w:r>
    </w:p>
    <w:p w:rsidR="00997DB7" w:rsidRDefault="007370FC">
      <w:pPr>
        <w:pStyle w:val="NormaleWeb1"/>
        <w:ind w:left="720"/>
        <w:jc w:val="both"/>
      </w:pPr>
      <w:r>
        <w:rPr>
          <w:rFonts w:ascii="Calibri" w:hAnsi="Calibri" w:cs="Calibri"/>
          <w:i/>
          <w:iCs/>
        </w:rPr>
        <w:t>Integrabili con uno o più servizi le cui spese non possono essere superiori al 40% quali:</w:t>
      </w:r>
    </w:p>
    <w:p w:rsidR="00997DB7" w:rsidRDefault="007370FC">
      <w:pPr>
        <w:pStyle w:val="NormaleWeb1"/>
        <w:numPr>
          <w:ilvl w:val="1"/>
          <w:numId w:val="4"/>
        </w:numPr>
        <w:spacing w:after="0"/>
        <w:jc w:val="both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Integrazione verticale e orizzontale</w:t>
      </w:r>
    </w:p>
    <w:p w:rsidR="00997DB7" w:rsidRDefault="007370FC">
      <w:pPr>
        <w:pStyle w:val="NormaleWeb1"/>
        <w:numPr>
          <w:ilvl w:val="1"/>
          <w:numId w:val="4"/>
        </w:numPr>
        <w:spacing w:before="0" w:after="0"/>
        <w:jc w:val="both"/>
      </w:pPr>
      <w:r>
        <w:rPr>
          <w:rFonts w:ascii="Calibri" w:hAnsi="Calibri" w:cs="Calibri"/>
        </w:rPr>
        <w:t>Accessibili da remoto</w:t>
      </w:r>
    </w:p>
    <w:p w:rsidR="00997DB7" w:rsidRDefault="007370FC">
      <w:pPr>
        <w:pStyle w:val="NormaleWeb1"/>
        <w:numPr>
          <w:ilvl w:val="1"/>
          <w:numId w:val="4"/>
        </w:numPr>
        <w:spacing w:before="0" w:after="0"/>
        <w:jc w:val="both"/>
      </w:pPr>
      <w:r>
        <w:rPr>
          <w:rFonts w:ascii="Calibri" w:hAnsi="Calibri" w:cs="Calibri"/>
        </w:rPr>
        <w:t>Analisi di grandi volumi di dati</w:t>
      </w:r>
    </w:p>
    <w:p w:rsidR="00997DB7" w:rsidRDefault="007370FC">
      <w:pPr>
        <w:pStyle w:val="NormaleWeb1"/>
        <w:numPr>
          <w:ilvl w:val="1"/>
          <w:numId w:val="4"/>
        </w:numPr>
        <w:spacing w:before="0" w:after="0"/>
        <w:jc w:val="both"/>
      </w:pPr>
      <w:r>
        <w:rPr>
          <w:rFonts w:ascii="Calibri" w:hAnsi="Calibri" w:cs="Calibri"/>
        </w:rPr>
        <w:t>Simulazione</w:t>
      </w:r>
    </w:p>
    <w:p w:rsidR="00997DB7" w:rsidRDefault="007370FC">
      <w:pPr>
        <w:pStyle w:val="NormaleWeb1"/>
        <w:numPr>
          <w:ilvl w:val="1"/>
          <w:numId w:val="4"/>
        </w:numPr>
        <w:spacing w:before="0" w:after="0"/>
        <w:jc w:val="both"/>
      </w:pPr>
      <w:r>
        <w:rPr>
          <w:rFonts w:ascii="Calibri" w:hAnsi="Calibri" w:cs="Calibri"/>
        </w:rPr>
        <w:t>Sicurezza Informatica</w:t>
      </w:r>
    </w:p>
    <w:p w:rsidR="00997DB7" w:rsidRDefault="007370FC">
      <w:pPr>
        <w:pStyle w:val="NormaleWeb1"/>
        <w:numPr>
          <w:ilvl w:val="1"/>
          <w:numId w:val="4"/>
        </w:numPr>
        <w:spacing w:before="0" w:after="0"/>
        <w:jc w:val="both"/>
      </w:pPr>
      <w:r>
        <w:rPr>
          <w:rFonts w:ascii="Calibri" w:hAnsi="Calibri" w:cs="Calibri"/>
        </w:rPr>
        <w:t>Gestione temporanea d’impresa</w:t>
      </w:r>
    </w:p>
    <w:p w:rsidR="00997DB7" w:rsidRDefault="007370FC">
      <w:pPr>
        <w:pStyle w:val="NormaleWeb1"/>
        <w:numPr>
          <w:ilvl w:val="1"/>
          <w:numId w:val="4"/>
        </w:numPr>
        <w:spacing w:before="0"/>
        <w:jc w:val="both"/>
      </w:pPr>
      <w:r>
        <w:rPr>
          <w:rFonts w:ascii="Calibri" w:hAnsi="Calibri" w:cs="Calibri"/>
        </w:rPr>
        <w:lastRenderedPageBreak/>
        <w:t>Ricerca contrattuale</w:t>
      </w:r>
    </w:p>
    <w:p w:rsidR="00997DB7" w:rsidRDefault="007370FC">
      <w:pPr>
        <w:pStyle w:val="NormaleWeb1"/>
        <w:ind w:left="720"/>
        <w:jc w:val="both"/>
      </w:pPr>
      <w:r>
        <w:rPr>
          <w:rFonts w:ascii="Calibri" w:hAnsi="Calibri" w:cs="Calibri"/>
          <w:i/>
          <w:iCs/>
        </w:rPr>
        <w:t>Integrabili con uno o più servizi le cui spese non possono essere superiori al 15% quali</w:t>
      </w:r>
    </w:p>
    <w:p w:rsidR="00997DB7" w:rsidRDefault="007370FC">
      <w:pPr>
        <w:pStyle w:val="NormaleWeb1"/>
        <w:numPr>
          <w:ilvl w:val="1"/>
          <w:numId w:val="4"/>
        </w:numPr>
        <w:spacing w:after="0"/>
        <w:jc w:val="both"/>
      </w:pPr>
      <w:r>
        <w:rPr>
          <w:rFonts w:ascii="Calibri" w:hAnsi="Calibri" w:cs="Calibri"/>
        </w:rPr>
        <w:t>Servizi di supporto alla certificazione per la sostenibilità</w:t>
      </w:r>
    </w:p>
    <w:p w:rsidR="00997DB7" w:rsidRDefault="007370FC">
      <w:pPr>
        <w:pStyle w:val="NormaleWeb1"/>
        <w:numPr>
          <w:ilvl w:val="1"/>
          <w:numId w:val="4"/>
        </w:numPr>
        <w:spacing w:before="0" w:after="0"/>
        <w:jc w:val="both"/>
      </w:pPr>
      <w:r>
        <w:rPr>
          <w:rFonts w:ascii="Calibri" w:hAnsi="Calibri" w:cs="Calibri"/>
        </w:rPr>
        <w:t>Servizi per l’efficienza e la responsabilità ambientale</w:t>
      </w:r>
    </w:p>
    <w:p w:rsidR="00997DB7" w:rsidRDefault="007370FC">
      <w:pPr>
        <w:pStyle w:val="NormaleWeb1"/>
        <w:numPr>
          <w:ilvl w:val="1"/>
          <w:numId w:val="4"/>
        </w:numPr>
        <w:spacing w:before="0" w:after="0"/>
        <w:jc w:val="both"/>
      </w:pPr>
      <w:r>
        <w:rPr>
          <w:rFonts w:ascii="Calibri" w:hAnsi="Calibri" w:cs="Calibri"/>
        </w:rPr>
        <w:t>Servizi per l’efficienza energetica</w:t>
      </w:r>
    </w:p>
    <w:p w:rsidR="00997DB7" w:rsidRDefault="007370FC">
      <w:pPr>
        <w:pStyle w:val="NormaleWeb1"/>
        <w:numPr>
          <w:ilvl w:val="1"/>
          <w:numId w:val="4"/>
        </w:numPr>
        <w:spacing w:before="0" w:after="0"/>
        <w:jc w:val="both"/>
      </w:pPr>
      <w:r>
        <w:rPr>
          <w:rFonts w:ascii="Calibri" w:hAnsi="Calibri" w:cs="Calibri"/>
        </w:rPr>
        <w:t>Servizi di supporto all’economia circolate</w:t>
      </w:r>
    </w:p>
    <w:p w:rsidR="00997DB7" w:rsidRDefault="007370FC">
      <w:pPr>
        <w:pStyle w:val="NormaleWeb1"/>
        <w:numPr>
          <w:ilvl w:val="1"/>
          <w:numId w:val="4"/>
        </w:numPr>
        <w:spacing w:before="0" w:after="0"/>
        <w:jc w:val="both"/>
      </w:pPr>
      <w:r>
        <w:rPr>
          <w:rFonts w:ascii="Calibri" w:hAnsi="Calibri" w:cs="Calibri"/>
        </w:rPr>
        <w:t>Servizi a supporto del benessere e dei sistemi di governo aziendale</w:t>
      </w:r>
    </w:p>
    <w:p w:rsidR="00997DB7" w:rsidRDefault="007370FC">
      <w:pPr>
        <w:pStyle w:val="NormaleWeb1"/>
        <w:numPr>
          <w:ilvl w:val="1"/>
          <w:numId w:val="4"/>
        </w:numPr>
        <w:spacing w:before="0"/>
        <w:jc w:val="both"/>
      </w:pPr>
      <w:r>
        <w:rPr>
          <w:rFonts w:ascii="Calibri" w:hAnsi="Calibri" w:cs="Calibri"/>
        </w:rPr>
        <w:t>Altri servizi del Catalogo</w:t>
      </w:r>
    </w:p>
    <w:p w:rsidR="00997DB7" w:rsidRDefault="007370FC">
      <w:pPr>
        <w:pStyle w:val="NormaleWeb1"/>
        <w:numPr>
          <w:ilvl w:val="0"/>
          <w:numId w:val="4"/>
        </w:numPr>
        <w:spacing w:after="0"/>
        <w:jc w:val="both"/>
      </w:pPr>
      <w:r>
        <w:rPr>
          <w:rFonts w:ascii="Calibri" w:hAnsi="Calibri" w:cs="Calibri"/>
          <w:b/>
          <w:bCs/>
        </w:rPr>
        <w:t xml:space="preserve">Sezione </w:t>
      </w:r>
      <w:r>
        <w:rPr>
          <w:rFonts w:ascii="Calibri" w:hAnsi="Calibri" w:cs="Calibri"/>
          <w:b/>
          <w:bCs/>
          <w:u w:val="single"/>
        </w:rPr>
        <w:t>DIGITALE &amp; SOSTENIBILE</w:t>
      </w:r>
      <w:r>
        <w:rPr>
          <w:rFonts w:ascii="Calibri" w:hAnsi="Calibri" w:cs="Calibri"/>
        </w:rPr>
        <w:t>: € 12.000.000 di risorse con l’obiettivo di supportare le imprese nella transizione ecologica:</w:t>
      </w:r>
    </w:p>
    <w:p w:rsidR="00997DB7" w:rsidRDefault="007370FC">
      <w:pPr>
        <w:pStyle w:val="NormaleWeb1"/>
        <w:numPr>
          <w:ilvl w:val="1"/>
          <w:numId w:val="4"/>
        </w:numPr>
        <w:spacing w:before="0" w:after="0"/>
        <w:jc w:val="both"/>
      </w:pPr>
      <w:r>
        <w:rPr>
          <w:rFonts w:ascii="Calibri" w:hAnsi="Calibri" w:cs="Calibri"/>
        </w:rPr>
        <w:t>Servizi di suppo</w:t>
      </w:r>
      <w:bookmarkStart w:id="0" w:name="_GoBack"/>
      <w:bookmarkEnd w:id="0"/>
      <w:r>
        <w:rPr>
          <w:rFonts w:ascii="Calibri" w:hAnsi="Calibri" w:cs="Calibri"/>
        </w:rPr>
        <w:t>rto alla certificazione per la sostenibilità</w:t>
      </w:r>
    </w:p>
    <w:p w:rsidR="00997DB7" w:rsidRDefault="007370FC">
      <w:pPr>
        <w:pStyle w:val="NormaleWeb1"/>
        <w:numPr>
          <w:ilvl w:val="1"/>
          <w:numId w:val="4"/>
        </w:numPr>
        <w:spacing w:before="0" w:after="0"/>
        <w:jc w:val="both"/>
      </w:pPr>
      <w:r>
        <w:rPr>
          <w:rFonts w:ascii="Calibri" w:hAnsi="Calibri" w:cs="Calibri"/>
        </w:rPr>
        <w:t>Servizi per l’efficienza e la responsabilità ambientale</w:t>
      </w:r>
    </w:p>
    <w:p w:rsidR="00997DB7" w:rsidRDefault="007370FC">
      <w:pPr>
        <w:pStyle w:val="NormaleWeb1"/>
        <w:numPr>
          <w:ilvl w:val="1"/>
          <w:numId w:val="4"/>
        </w:numPr>
        <w:spacing w:before="0" w:after="0"/>
        <w:jc w:val="both"/>
      </w:pPr>
      <w:r>
        <w:rPr>
          <w:rFonts w:ascii="Calibri" w:hAnsi="Calibri" w:cs="Calibri"/>
        </w:rPr>
        <w:t>Servizi a supporto dell’economia circolare</w:t>
      </w:r>
    </w:p>
    <w:p w:rsidR="00997DB7" w:rsidRDefault="007370FC">
      <w:pPr>
        <w:pStyle w:val="NormaleWeb1"/>
        <w:numPr>
          <w:ilvl w:val="1"/>
          <w:numId w:val="4"/>
        </w:numPr>
        <w:spacing w:before="0"/>
        <w:jc w:val="both"/>
      </w:pPr>
      <w:r>
        <w:rPr>
          <w:rFonts w:ascii="Calibri" w:hAnsi="Calibri" w:cs="Calibri"/>
        </w:rPr>
        <w:t>Servizi per l’efficienza energetica</w:t>
      </w:r>
    </w:p>
    <w:p w:rsidR="00997DB7" w:rsidRDefault="007370FC">
      <w:pPr>
        <w:pStyle w:val="NormaleWeb1"/>
        <w:ind w:firstLine="708"/>
        <w:jc w:val="both"/>
      </w:pPr>
      <w:r>
        <w:rPr>
          <w:rFonts w:ascii="Calibri" w:hAnsi="Calibri" w:cs="Calibri"/>
        </w:rPr>
        <w:t>Integrabili con uno o più servizi le cui spese non possono essere superiori al 40% quali:</w:t>
      </w:r>
    </w:p>
    <w:p w:rsidR="00997DB7" w:rsidRDefault="007370FC">
      <w:pPr>
        <w:pStyle w:val="NormaleWeb1"/>
        <w:numPr>
          <w:ilvl w:val="0"/>
          <w:numId w:val="5"/>
        </w:numPr>
        <w:spacing w:after="0"/>
        <w:jc w:val="both"/>
      </w:pPr>
      <w:r>
        <w:rPr>
          <w:rFonts w:ascii="Calibri" w:hAnsi="Calibri" w:cs="Calibri"/>
        </w:rPr>
        <w:t>Servizi di supporto alla digitalizzazione</w:t>
      </w:r>
    </w:p>
    <w:p w:rsidR="00997DB7" w:rsidRDefault="007370FC">
      <w:pPr>
        <w:pStyle w:val="NormaleWeb1"/>
        <w:numPr>
          <w:ilvl w:val="0"/>
          <w:numId w:val="5"/>
        </w:numPr>
        <w:spacing w:before="0" w:after="0"/>
        <w:jc w:val="both"/>
      </w:pPr>
      <w:r>
        <w:rPr>
          <w:rFonts w:ascii="Calibri" w:hAnsi="Calibri" w:cs="Calibri"/>
        </w:rPr>
        <w:t>Gestione temporanea d’impresa</w:t>
      </w:r>
    </w:p>
    <w:p w:rsidR="00997DB7" w:rsidRDefault="007370FC">
      <w:pPr>
        <w:pStyle w:val="NormaleWeb1"/>
        <w:numPr>
          <w:ilvl w:val="0"/>
          <w:numId w:val="5"/>
        </w:numPr>
        <w:spacing w:before="0"/>
        <w:jc w:val="both"/>
      </w:pPr>
      <w:r>
        <w:rPr>
          <w:rFonts w:ascii="Calibri" w:hAnsi="Calibri" w:cs="Calibri"/>
        </w:rPr>
        <w:t>Ricerca contrattuale</w:t>
      </w:r>
    </w:p>
    <w:p w:rsidR="00997DB7" w:rsidRDefault="007370FC">
      <w:pPr>
        <w:pStyle w:val="NormaleWeb1"/>
        <w:ind w:firstLine="708"/>
        <w:jc w:val="both"/>
      </w:pPr>
      <w:r>
        <w:rPr>
          <w:rFonts w:ascii="Calibri" w:hAnsi="Calibri" w:cs="Calibri"/>
        </w:rPr>
        <w:t>Integrabili con uno o più servizi le cui spese non possono essere superiori al 15% quali:</w:t>
      </w:r>
    </w:p>
    <w:p w:rsidR="00997DB7" w:rsidRDefault="007370FC">
      <w:pPr>
        <w:pStyle w:val="NormaleWeb1"/>
        <w:numPr>
          <w:ilvl w:val="0"/>
          <w:numId w:val="6"/>
        </w:numPr>
        <w:spacing w:after="0"/>
        <w:jc w:val="both"/>
      </w:pPr>
      <w:r>
        <w:rPr>
          <w:rFonts w:ascii="Calibri" w:hAnsi="Calibri" w:cs="Calibri"/>
        </w:rPr>
        <w:t>Servizi a supporto del benessere e dei sistemi di governo aziendale</w:t>
      </w:r>
    </w:p>
    <w:p w:rsidR="00997DB7" w:rsidRDefault="007370FC">
      <w:pPr>
        <w:pStyle w:val="NormaleWeb1"/>
        <w:numPr>
          <w:ilvl w:val="0"/>
          <w:numId w:val="6"/>
        </w:numPr>
        <w:spacing w:before="0"/>
        <w:jc w:val="both"/>
      </w:pPr>
      <w:r>
        <w:rPr>
          <w:rFonts w:ascii="Calibri" w:hAnsi="Calibri" w:cs="Calibri"/>
        </w:rPr>
        <w:t>Altri servizi del Catalogo</w:t>
      </w:r>
    </w:p>
    <w:p w:rsidR="00997DB7" w:rsidRDefault="007370FC">
      <w:pPr>
        <w:pStyle w:val="NormaleWeb1"/>
        <w:numPr>
          <w:ilvl w:val="0"/>
          <w:numId w:val="4"/>
        </w:numPr>
        <w:spacing w:after="0"/>
        <w:jc w:val="both"/>
      </w:pPr>
      <w:r>
        <w:rPr>
          <w:rFonts w:ascii="Calibri" w:hAnsi="Calibri" w:cs="Calibri"/>
          <w:b/>
          <w:bCs/>
        </w:rPr>
        <w:t xml:space="preserve">Sezione </w:t>
      </w:r>
      <w:r>
        <w:rPr>
          <w:rFonts w:ascii="Calibri" w:hAnsi="Calibri" w:cs="Calibri"/>
          <w:b/>
          <w:bCs/>
          <w:u w:val="single"/>
        </w:rPr>
        <w:t>DIGITALE &amp; SICURA</w:t>
      </w:r>
      <w:r>
        <w:rPr>
          <w:rFonts w:ascii="Calibri" w:hAnsi="Calibri" w:cs="Calibri"/>
          <w:u w:val="single"/>
        </w:rPr>
        <w:t>:</w:t>
      </w:r>
      <w:r>
        <w:rPr>
          <w:rFonts w:ascii="Calibri" w:hAnsi="Calibri" w:cs="Calibri"/>
        </w:rPr>
        <w:t xml:space="preserve"> € 5.000.000 </w:t>
      </w:r>
      <w:proofErr w:type="gramStart"/>
      <w:r>
        <w:rPr>
          <w:rFonts w:ascii="Calibri" w:hAnsi="Calibri" w:cs="Calibri"/>
        </w:rPr>
        <w:t>( anche</w:t>
      </w:r>
      <w:proofErr w:type="gramEnd"/>
      <w:r>
        <w:rPr>
          <w:rFonts w:ascii="Calibri" w:hAnsi="Calibri" w:cs="Calibri"/>
        </w:rPr>
        <w:t xml:space="preserve"> in aggiunta) con l’obiettivo di Incrementare il livello di salute e sicurezza dei lavoratori attraverso il sostegno a imprese toscane che realizzino interventi, oltre gli obblighi di legge, con l’applicazione di innovativi metodi organizzativi di lavoro e dei processi di produzione. Sostenere gli investimenti innovativi immateriali finalizzati a qualificare la gestione della sicurezza sui luoghi di lavoro tramite il miglioramento dei processi attraverso:</w:t>
      </w:r>
    </w:p>
    <w:p w:rsidR="00997DB7" w:rsidRDefault="007370FC">
      <w:pPr>
        <w:pStyle w:val="NormaleWeb1"/>
        <w:numPr>
          <w:ilvl w:val="1"/>
          <w:numId w:val="4"/>
        </w:numPr>
        <w:spacing w:before="0" w:after="0"/>
        <w:jc w:val="both"/>
      </w:pPr>
      <w:r>
        <w:rPr>
          <w:rFonts w:ascii="Calibri" w:hAnsi="Calibri" w:cs="Calibri"/>
        </w:rPr>
        <w:t>Servizi di supporto alla certificazione avanzata e resilienza aziendale (tipo adesione ISO 45001)</w:t>
      </w:r>
    </w:p>
    <w:p w:rsidR="00997DB7" w:rsidRDefault="007370FC">
      <w:pPr>
        <w:pStyle w:val="NormaleWeb1"/>
        <w:numPr>
          <w:ilvl w:val="1"/>
          <w:numId w:val="4"/>
        </w:numPr>
        <w:spacing w:before="0"/>
        <w:jc w:val="both"/>
      </w:pPr>
      <w:r>
        <w:rPr>
          <w:rFonts w:ascii="Calibri" w:hAnsi="Calibri" w:cs="Calibri"/>
        </w:rPr>
        <w:t>Servizi basati su blocchi concatenati</w:t>
      </w:r>
    </w:p>
    <w:p w:rsidR="00997DB7" w:rsidRDefault="007370FC">
      <w:pPr>
        <w:pStyle w:val="NormaleWeb1"/>
        <w:ind w:left="720"/>
        <w:jc w:val="both"/>
      </w:pPr>
      <w:r>
        <w:rPr>
          <w:rFonts w:ascii="Calibri" w:hAnsi="Calibri" w:cs="Calibri"/>
        </w:rPr>
        <w:t>Integrabili con uno o più servizi le cui spese non possono essere superiori al 40% quali:</w:t>
      </w:r>
    </w:p>
    <w:p w:rsidR="00997DB7" w:rsidRDefault="007370FC">
      <w:pPr>
        <w:pStyle w:val="NormaleWeb1"/>
        <w:numPr>
          <w:ilvl w:val="1"/>
          <w:numId w:val="4"/>
        </w:numPr>
        <w:spacing w:after="0"/>
        <w:jc w:val="both"/>
      </w:pPr>
      <w:r>
        <w:rPr>
          <w:rFonts w:ascii="Calibri" w:hAnsi="Calibri" w:cs="Calibri"/>
        </w:rPr>
        <w:t>Servizi di supporto alla digitalizzazione</w:t>
      </w:r>
    </w:p>
    <w:p w:rsidR="00997DB7" w:rsidRDefault="007370FC">
      <w:pPr>
        <w:pStyle w:val="NormaleWeb1"/>
        <w:numPr>
          <w:ilvl w:val="1"/>
          <w:numId w:val="4"/>
        </w:numPr>
        <w:spacing w:before="0" w:after="0"/>
        <w:jc w:val="both"/>
      </w:pPr>
      <w:r>
        <w:rPr>
          <w:rFonts w:ascii="Calibri" w:hAnsi="Calibri" w:cs="Calibri"/>
        </w:rPr>
        <w:t>Gestione temporanea d’impresa</w:t>
      </w:r>
    </w:p>
    <w:p w:rsidR="00997DB7" w:rsidRDefault="007370FC">
      <w:pPr>
        <w:pStyle w:val="NormaleWeb1"/>
        <w:numPr>
          <w:ilvl w:val="1"/>
          <w:numId w:val="4"/>
        </w:numPr>
        <w:spacing w:before="0"/>
        <w:jc w:val="both"/>
      </w:pPr>
      <w:r>
        <w:rPr>
          <w:rFonts w:ascii="Calibri" w:hAnsi="Calibri" w:cs="Calibri"/>
        </w:rPr>
        <w:lastRenderedPageBreak/>
        <w:t>Ricerca contrattuale</w:t>
      </w:r>
    </w:p>
    <w:p w:rsidR="00997DB7" w:rsidRDefault="007370FC">
      <w:pPr>
        <w:pStyle w:val="NormaleWeb1"/>
        <w:ind w:left="720"/>
        <w:jc w:val="both"/>
      </w:pPr>
      <w:r>
        <w:rPr>
          <w:rFonts w:ascii="Calibri" w:hAnsi="Calibri" w:cs="Calibri"/>
        </w:rPr>
        <w:t>Integrabili con uno o più servizi le cui spese non possono essere superiori al 15% quali:</w:t>
      </w:r>
    </w:p>
    <w:p w:rsidR="00997DB7" w:rsidRDefault="007370FC">
      <w:pPr>
        <w:pStyle w:val="NormaleWeb1"/>
        <w:numPr>
          <w:ilvl w:val="1"/>
          <w:numId w:val="4"/>
        </w:numPr>
        <w:spacing w:after="0"/>
        <w:jc w:val="both"/>
      </w:pPr>
      <w:r>
        <w:rPr>
          <w:rFonts w:ascii="Calibri" w:hAnsi="Calibri" w:cs="Calibri"/>
        </w:rPr>
        <w:t>Servizi di supporto alla certificazione per la sostenibilità</w:t>
      </w:r>
    </w:p>
    <w:p w:rsidR="00997DB7" w:rsidRDefault="007370FC">
      <w:pPr>
        <w:pStyle w:val="NormaleWeb1"/>
        <w:numPr>
          <w:ilvl w:val="1"/>
          <w:numId w:val="4"/>
        </w:numPr>
        <w:spacing w:before="0" w:after="0"/>
        <w:jc w:val="both"/>
      </w:pPr>
      <w:r>
        <w:rPr>
          <w:rFonts w:ascii="Calibri" w:hAnsi="Calibri" w:cs="Calibri"/>
        </w:rPr>
        <w:t>Servizi per l’efficienza e la responsabilità ambientale</w:t>
      </w:r>
    </w:p>
    <w:p w:rsidR="00997DB7" w:rsidRDefault="007370FC">
      <w:pPr>
        <w:pStyle w:val="NormaleWeb1"/>
        <w:numPr>
          <w:ilvl w:val="1"/>
          <w:numId w:val="4"/>
        </w:numPr>
        <w:spacing w:before="0" w:after="0"/>
        <w:jc w:val="both"/>
      </w:pPr>
      <w:r>
        <w:rPr>
          <w:rFonts w:ascii="Calibri" w:hAnsi="Calibri" w:cs="Calibri"/>
        </w:rPr>
        <w:t>Servizi per l’efficienza energetica</w:t>
      </w:r>
    </w:p>
    <w:p w:rsidR="00997DB7" w:rsidRDefault="007370FC">
      <w:pPr>
        <w:pStyle w:val="NormaleWeb1"/>
        <w:numPr>
          <w:ilvl w:val="1"/>
          <w:numId w:val="4"/>
        </w:numPr>
        <w:spacing w:before="0" w:after="0"/>
        <w:jc w:val="both"/>
      </w:pPr>
      <w:r>
        <w:rPr>
          <w:rFonts w:ascii="Calibri" w:hAnsi="Calibri" w:cs="Calibri"/>
        </w:rPr>
        <w:t>Servizi di supporto all’economia circolate</w:t>
      </w:r>
    </w:p>
    <w:p w:rsidR="00997DB7" w:rsidRDefault="007370FC">
      <w:pPr>
        <w:pStyle w:val="NormaleWeb1"/>
        <w:numPr>
          <w:ilvl w:val="1"/>
          <w:numId w:val="4"/>
        </w:numPr>
        <w:spacing w:before="0" w:after="0"/>
        <w:jc w:val="both"/>
      </w:pPr>
      <w:r>
        <w:rPr>
          <w:rFonts w:ascii="Calibri" w:hAnsi="Calibri" w:cs="Calibri"/>
        </w:rPr>
        <w:t>Servizi a supporto del benessere e dei sistemi di governo aziendale</w:t>
      </w:r>
    </w:p>
    <w:p w:rsidR="00997DB7" w:rsidRDefault="007370FC">
      <w:pPr>
        <w:pStyle w:val="NormaleWeb1"/>
        <w:numPr>
          <w:ilvl w:val="1"/>
          <w:numId w:val="4"/>
        </w:numPr>
        <w:spacing w:before="0"/>
        <w:jc w:val="both"/>
      </w:pPr>
      <w:r>
        <w:rPr>
          <w:rFonts w:ascii="Calibri" w:hAnsi="Calibri" w:cs="Calibri"/>
        </w:rPr>
        <w:t>Altri servizi del Catalogo</w:t>
      </w:r>
    </w:p>
    <w:p w:rsidR="00997DB7" w:rsidRDefault="00997DB7">
      <w:pPr>
        <w:rPr>
          <w:rFonts w:ascii="Tahoma" w:hAnsi="Tahoma" w:cs="Tahoma"/>
        </w:rPr>
      </w:pPr>
    </w:p>
    <w:p w:rsidR="00997DB7" w:rsidRDefault="00333941" w:rsidP="00333941">
      <w:pPr>
        <w:jc w:val="center"/>
        <w:rPr>
          <w:rFonts w:ascii="Calibri" w:hAnsi="Calibri" w:cs="Calibri"/>
          <w:b/>
          <w:color w:val="3465A4"/>
          <w:sz w:val="32"/>
          <w:szCs w:val="32"/>
          <w:u w:val="single"/>
        </w:rPr>
      </w:pPr>
      <w:r>
        <w:rPr>
          <w:rFonts w:ascii="Calibri" w:hAnsi="Calibri" w:cs="Calibri"/>
          <w:b/>
          <w:color w:val="3465A4"/>
          <w:sz w:val="32"/>
          <w:szCs w:val="32"/>
          <w:u w:val="single"/>
        </w:rPr>
        <w:t>Previsione apertura: inizio luglio 2023</w:t>
      </w:r>
    </w:p>
    <w:p w:rsidR="00333941" w:rsidRDefault="00333941">
      <w:pPr>
        <w:rPr>
          <w:rFonts w:ascii="Calibri" w:hAnsi="Calibri" w:cs="Calibri"/>
          <w:b/>
          <w:color w:val="3465A4"/>
          <w:sz w:val="32"/>
          <w:szCs w:val="32"/>
          <w:u w:val="single"/>
        </w:rPr>
      </w:pPr>
    </w:p>
    <w:p w:rsidR="00333941" w:rsidRDefault="00333941">
      <w:pPr>
        <w:rPr>
          <w:rFonts w:ascii="Calibri" w:hAnsi="Calibri" w:cs="Calibri"/>
          <w:b/>
          <w:color w:val="3465A4"/>
          <w:sz w:val="32"/>
          <w:szCs w:val="32"/>
          <w:u w:val="single"/>
        </w:rPr>
      </w:pPr>
    </w:p>
    <w:p w:rsidR="00997DB7" w:rsidRDefault="007370FC">
      <w:pPr>
        <w:pStyle w:val="WW-Stilepredefinito"/>
        <w:jc w:val="center"/>
      </w:pPr>
      <w:r>
        <w:rPr>
          <w:rStyle w:val="Enfasigrassetto"/>
          <w:rFonts w:ascii="Calibri" w:hAnsi="Calibri" w:cs="Calibri"/>
          <w:color w:val="3465A4"/>
          <w:sz w:val="28"/>
          <w:szCs w:val="28"/>
          <w:u w:val="single"/>
        </w:rPr>
        <w:t xml:space="preserve">Per maggiori informazioni ed una consulenza personalizzata: </w:t>
      </w:r>
    </w:p>
    <w:p w:rsidR="00997DB7" w:rsidRDefault="00997DB7">
      <w:pPr>
        <w:pStyle w:val="WW-Stilepredefini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997DB7" w:rsidRPr="007017D2" w:rsidRDefault="007017D2" w:rsidP="007017D2">
      <w:pPr>
        <w:pStyle w:val="WW-Stilepredefinito"/>
        <w:widowControl w:val="0"/>
        <w:spacing w:after="240"/>
        <w:jc w:val="center"/>
        <w:rPr>
          <w:sz w:val="48"/>
          <w:szCs w:val="48"/>
        </w:rPr>
      </w:pPr>
      <w:r w:rsidRPr="007017D2">
        <w:rPr>
          <w:rStyle w:val="Enfasigrassetto"/>
          <w:rFonts w:ascii="Calibri" w:hAnsi="Calibri" w:cs="Calibri"/>
          <w:bCs w:val="0"/>
          <w:color w:val="2F5496"/>
          <w:sz w:val="48"/>
          <w:szCs w:val="48"/>
        </w:rPr>
        <w:t>agevolato@firenze.cna.it</w:t>
      </w:r>
    </w:p>
    <w:sectPr w:rsidR="00997DB7" w:rsidRPr="007017D2">
      <w:footerReference w:type="even" r:id="rId7"/>
      <w:footerReference w:type="default" r:id="rId8"/>
      <w:headerReference w:type="first" r:id="rId9"/>
      <w:pgSz w:w="11906" w:h="16838"/>
      <w:pgMar w:top="1341" w:right="782" w:bottom="2169" w:left="782" w:header="782" w:footer="782" w:gutter="0"/>
      <w:pgBorders>
        <w:top w:val="single" w:sz="18" w:space="9" w:color="1454AA"/>
        <w:left w:val="single" w:sz="18" w:space="9" w:color="1454AA"/>
        <w:bottom w:val="single" w:sz="18" w:space="9" w:color="1454AA"/>
        <w:right w:val="single" w:sz="18" w:space="9" w:color="1454AA"/>
      </w:pgBorders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B58" w:rsidRDefault="00793B58">
      <w:r>
        <w:separator/>
      </w:r>
    </w:p>
  </w:endnote>
  <w:endnote w:type="continuationSeparator" w:id="0">
    <w:p w:rsidR="00793B58" w:rsidRDefault="0079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219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D2" w:rsidRDefault="007017D2">
    <w:pPr>
      <w:pStyle w:val="Pidipagina"/>
      <w:rPr>
        <w:noProof/>
        <w:lang w:eastAsia="it-IT"/>
      </w:rPr>
    </w:pPr>
  </w:p>
  <w:p w:rsidR="00997DB7" w:rsidRDefault="007017D2">
    <w:pPr>
      <w:pStyle w:val="Pidipagina"/>
    </w:pPr>
    <w:r>
      <w:rPr>
        <w:noProof/>
        <w:lang w:eastAsia="it-IT"/>
      </w:rPr>
      <w:drawing>
        <wp:anchor distT="0" distB="0" distL="0" distR="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89535</wp:posOffset>
          </wp:positionV>
          <wp:extent cx="751840" cy="855345"/>
          <wp:effectExtent l="0" t="0" r="0" b="1905"/>
          <wp:wrapSquare wrapText="largest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9" t="-220" r="-269" b="-220"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855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CEC8DD6" wp14:editId="6A0A0C27">
          <wp:extent cx="1688465" cy="762000"/>
          <wp:effectExtent l="0" t="0" r="698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97DB7" w:rsidRDefault="00997DB7">
    <w:pPr>
      <w:pStyle w:val="Pidipagina"/>
    </w:pPr>
  </w:p>
  <w:p w:rsidR="00997DB7" w:rsidRDefault="00997DB7">
    <w:pPr>
      <w:pStyle w:val="Pidipagina"/>
    </w:pPr>
  </w:p>
  <w:p w:rsidR="00997DB7" w:rsidRDefault="00997D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DB7" w:rsidRDefault="007017D2">
    <w:pPr>
      <w:pStyle w:val="Pidipagina"/>
    </w:pPr>
    <w:r>
      <w:rPr>
        <w:noProof/>
        <w:lang w:eastAsia="it-IT"/>
      </w:rPr>
      <w:drawing>
        <wp:inline distT="0" distB="0" distL="0" distR="0" wp14:anchorId="19C3C317" wp14:editId="06200BE5">
          <wp:extent cx="1688465" cy="762000"/>
          <wp:effectExtent l="0" t="0" r="698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96129">
      <w:rPr>
        <w:noProof/>
        <w:lang w:eastAsia="it-IT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5918200</wp:posOffset>
          </wp:positionH>
          <wp:positionV relativeFrom="paragraph">
            <wp:posOffset>-129540</wp:posOffset>
          </wp:positionV>
          <wp:extent cx="751840" cy="855345"/>
          <wp:effectExtent l="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9" t="-220" r="-269" b="-220"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855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7DB7" w:rsidRDefault="00997DB7">
    <w:pPr>
      <w:pStyle w:val="Pidipagina"/>
    </w:pPr>
  </w:p>
  <w:p w:rsidR="00997DB7" w:rsidRDefault="00997DB7">
    <w:pPr>
      <w:pStyle w:val="Pidipagina"/>
    </w:pPr>
  </w:p>
  <w:p w:rsidR="00997DB7" w:rsidRDefault="00997D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B58" w:rsidRDefault="00793B58">
      <w:r>
        <w:separator/>
      </w:r>
    </w:p>
  </w:footnote>
  <w:footnote w:type="continuationSeparator" w:id="0">
    <w:p w:rsidR="00793B58" w:rsidRDefault="00793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D2" w:rsidRDefault="007370FC">
    <w:pPr>
      <w:pStyle w:val="Intestazione"/>
    </w:pPr>
    <w:r>
      <w:rPr>
        <w:noProof/>
        <w:lang w:eastAsia="it-IT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5756910</wp:posOffset>
          </wp:positionH>
          <wp:positionV relativeFrom="paragraph">
            <wp:posOffset>-20320</wp:posOffset>
          </wp:positionV>
          <wp:extent cx="703580" cy="800100"/>
          <wp:effectExtent l="0" t="0" r="1270" b="0"/>
          <wp:wrapSquare wrapText="largest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9" t="-220" r="-269" b="-220"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7D2">
      <w:rPr>
        <w:noProof/>
        <w:lang w:eastAsia="it-IT"/>
      </w:rPr>
      <w:drawing>
        <wp:inline distT="0" distB="0" distL="0" distR="0" wp14:anchorId="0CEC8DD6" wp14:editId="6A0A0C27">
          <wp:extent cx="1688465" cy="762000"/>
          <wp:effectExtent l="0" t="0" r="698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97DB7" w:rsidRDefault="00997DB7">
    <w:pPr>
      <w:pStyle w:val="Intestazione"/>
    </w:pPr>
  </w:p>
  <w:p w:rsidR="00997DB7" w:rsidRDefault="00997DB7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97"/>
        </w:tabs>
        <w:ind w:left="9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57"/>
        </w:tabs>
        <w:ind w:left="13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17"/>
        </w:tabs>
        <w:ind w:left="17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7"/>
        </w:tabs>
        <w:ind w:left="20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37"/>
        </w:tabs>
        <w:ind w:left="24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97"/>
        </w:tabs>
        <w:ind w:left="27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57"/>
        </w:tabs>
        <w:ind w:left="31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17"/>
        </w:tabs>
        <w:ind w:left="35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77"/>
        </w:tabs>
        <w:ind w:left="3877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29"/>
    <w:rsid w:val="00333941"/>
    <w:rsid w:val="005A3FFD"/>
    <w:rsid w:val="005B0DDE"/>
    <w:rsid w:val="00696129"/>
    <w:rsid w:val="007017D2"/>
    <w:rsid w:val="007370FC"/>
    <w:rsid w:val="00793B58"/>
    <w:rsid w:val="00997DB7"/>
    <w:rsid w:val="00A24ED7"/>
    <w:rsid w:val="00BA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CB17703-FB8B-4D79-B3CE-B3945538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Titolo1">
    <w:name w:val="heading 1"/>
    <w:basedOn w:val="WW-Stilepredefinito"/>
    <w:next w:val="Corpotesto"/>
    <w:qFormat/>
    <w:pPr>
      <w:keepNext/>
      <w:numPr>
        <w:numId w:val="1"/>
      </w:numPr>
      <w:ind w:left="1416" w:firstLine="708"/>
      <w:outlineLvl w:val="0"/>
    </w:pPr>
    <w:rPr>
      <w:b/>
      <w:bCs/>
      <w:sz w:val="18"/>
      <w:szCs w:val="20"/>
    </w:rPr>
  </w:style>
  <w:style w:type="paragraph" w:styleId="Titolo2">
    <w:name w:val="heading 2"/>
    <w:basedOn w:val="WW-Stilepredefinito"/>
    <w:next w:val="Corpotesto"/>
    <w:qFormat/>
    <w:pPr>
      <w:keepNext/>
      <w:numPr>
        <w:ilvl w:val="1"/>
        <w:numId w:val="1"/>
      </w:numPr>
      <w:ind w:left="1416" w:firstLine="708"/>
      <w:outlineLvl w:val="1"/>
    </w:pPr>
    <w:rPr>
      <w:b/>
      <w:bCs/>
      <w:i/>
      <w:iCs/>
      <w:sz w:val="20"/>
      <w:szCs w:val="20"/>
    </w:rPr>
  </w:style>
  <w:style w:type="paragraph" w:styleId="Titolo3">
    <w:name w:val="heading 3"/>
    <w:basedOn w:val="WW-Stilepredefinito"/>
    <w:next w:val="Corpotesto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1219"/>
      <w:b/>
      <w:bCs/>
      <w:color w:val="4F81BD"/>
      <w:sz w:val="28"/>
      <w:szCs w:val="28"/>
    </w:rPr>
  </w:style>
  <w:style w:type="paragraph" w:styleId="Titolo4">
    <w:name w:val="heading 4"/>
    <w:basedOn w:val="WW-Stilepredefinito"/>
    <w:next w:val="Corpotesto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1219"/>
      <w:b/>
      <w:bCs/>
      <w:i/>
      <w:iCs/>
      <w:color w:val="4F81BD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Calibri" w:hAnsi="Calibri" w:cs="Calibri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alibri" w:hAnsi="Calibri" w:cs="Calibri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alibri" w:hAnsi="Calibri" w:cs="Calibri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Carpredefinitoparagrafo11">
    <w:name w:val="Car. predefinito paragrafo1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Tahoma" w:hAnsi="Tahoma" w:cs="OpenSymbol"/>
    </w:rPr>
  </w:style>
  <w:style w:type="character" w:customStyle="1" w:styleId="WW8Num11z0">
    <w:name w:val="WW8Num11z0"/>
    <w:rPr>
      <w:rFonts w:ascii="Wingdings" w:hAnsi="Wingdings" w:cs="OpenSymbol"/>
    </w:rPr>
  </w:style>
  <w:style w:type="character" w:customStyle="1" w:styleId="WW8Num11z1">
    <w:name w:val="WW8Num11z1"/>
    <w:rPr>
      <w:rFonts w:ascii="Courier New" w:hAnsi="Courier New" w:cs="OpenSymbol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6z0">
    <w:name w:val="WW8Num16z0"/>
    <w:rPr>
      <w:rFonts w:ascii="Tahoma" w:eastAsia="Times New Roman" w:hAnsi="Tahoma" w:cs="Tahoma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OpenSymbol" w:hAnsi="OpenSymbol" w:cs="OpenSymbol" w:hint="default"/>
    </w:rPr>
  </w:style>
  <w:style w:type="character" w:customStyle="1" w:styleId="Carpredefinitoparagrafo10">
    <w:name w:val="Car. predefinito paragrafo10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Carpredefinitoparagrafo9">
    <w:name w:val="Car. predefinito paragrafo9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Carpredefinitoparagrafo8">
    <w:name w:val="Car. predefinito paragrafo8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7">
    <w:name w:val="Car. predefinito paragrafo7"/>
  </w:style>
  <w:style w:type="character" w:customStyle="1" w:styleId="Carpredefinitoparagrafo6">
    <w:name w:val="Car. predefinito paragrafo6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  <w:color w:val="FF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  <w:color w:val="00000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Wingdings" w:hAnsi="Wingdings" w:cs="Wingdings"/>
      <w:color w:val="FF0000"/>
      <w:sz w:val="22"/>
      <w:szCs w:val="22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predefinitoparagrafo12">
    <w:name w:val="Car. predefinito paragrafo1"/>
  </w:style>
  <w:style w:type="character" w:styleId="Collegamentoipertestuale">
    <w:name w:val="Hyperlink"/>
    <w:rPr>
      <w:color w:val="000080"/>
      <w:u w:val="single"/>
      <w:lang w:val="it-IT" w:bidi="it-IT"/>
    </w:r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Titolo3Carattere">
    <w:name w:val="Titolo 3 Carattere"/>
    <w:rPr>
      <w:rFonts w:ascii="Cambria" w:hAnsi="Cambria" w:cs="font1219"/>
      <w:b/>
      <w:bCs/>
      <w:color w:val="4F81BD"/>
      <w:sz w:val="24"/>
      <w:szCs w:val="24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itolo4Carattere">
    <w:name w:val="Titolo 4 Carattere"/>
    <w:rPr>
      <w:rFonts w:ascii="Cambria" w:hAnsi="Cambria" w:cs="font1219"/>
      <w:b/>
      <w:bCs/>
      <w:i/>
      <w:iCs/>
      <w:color w:val="4F81BD"/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Palatino Linotype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Palatino Linotype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Palatino Linotype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Palatino Linotype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Palatino Linotype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Palatino Linotype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Palatino Linotype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Caratteredinumerazione">
    <w:name w:val="Carattere di numerazione"/>
  </w:style>
  <w:style w:type="character" w:customStyle="1" w:styleId="Caratteridinumerazione">
    <w:name w:val="Caratteri di numerazione"/>
  </w:style>
  <w:style w:type="character" w:customStyle="1" w:styleId="ListLabel217">
    <w:name w:val="ListLabel 217"/>
    <w:rPr>
      <w:rFonts w:eastAsia="Calibri" w:cs="Calibri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  <w:rPr>
      <w:rFonts w:cs="Courier New"/>
    </w:rPr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</w:style>
  <w:style w:type="character" w:customStyle="1" w:styleId="ListLabel226">
    <w:name w:val="ListLabel 226"/>
    <w:rPr>
      <w:rFonts w:eastAsia="Calibri" w:cs="Calibri"/>
    </w:rPr>
  </w:style>
  <w:style w:type="character" w:customStyle="1" w:styleId="ListLabel227">
    <w:name w:val="ListLabel 227"/>
    <w:rPr>
      <w:rFonts w:cs="Courier New"/>
    </w:rPr>
  </w:style>
  <w:style w:type="character" w:customStyle="1" w:styleId="ListLabel228">
    <w:name w:val="ListLabel 228"/>
  </w:style>
  <w:style w:type="character" w:customStyle="1" w:styleId="ListLabel229">
    <w:name w:val="ListLabel 229"/>
  </w:style>
  <w:style w:type="character" w:customStyle="1" w:styleId="ListLabel230">
    <w:name w:val="ListLabel 230"/>
    <w:rPr>
      <w:rFonts w:cs="Courier New"/>
    </w:rPr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  <w:rPr>
      <w:rFonts w:cs="Courier New"/>
    </w:rPr>
  </w:style>
  <w:style w:type="character" w:customStyle="1" w:styleId="ListLabel234">
    <w:name w:val="ListLabel 234"/>
  </w:style>
  <w:style w:type="character" w:customStyle="1" w:styleId="ListLabel235">
    <w:name w:val="ListLabel 235"/>
    <w:rPr>
      <w:rFonts w:eastAsia="Calibri" w:cs="Calibri"/>
    </w:rPr>
  </w:style>
  <w:style w:type="character" w:customStyle="1" w:styleId="ListLabel236">
    <w:name w:val="ListLabel 236"/>
    <w:rPr>
      <w:rFonts w:cs="Courier New"/>
    </w:rPr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  <w:rPr>
      <w:rFonts w:cs="Courier New"/>
    </w:rPr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  <w:rPr>
      <w:rFonts w:cs="Courier New"/>
    </w:rPr>
  </w:style>
  <w:style w:type="character" w:customStyle="1" w:styleId="ListLabel243">
    <w:name w:val="ListLabel 243"/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WW-Stilepredefinito"/>
    <w:pPr>
      <w:spacing w:after="120"/>
    </w:pPr>
  </w:style>
  <w:style w:type="paragraph" w:styleId="Elenco">
    <w:name w:val="List"/>
    <w:basedOn w:val="WW-Corpodeltesto"/>
    <w:pPr>
      <w:widowControl w:val="0"/>
    </w:pPr>
    <w:rPr>
      <w:rFonts w:eastAsia="SimSun" w:cs="Tahoma"/>
      <w:color w:val="00000A"/>
      <w:lang w:bidi="hi-IN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WW-Stilepredefinito"/>
    <w:pPr>
      <w:suppressLineNumbers/>
    </w:pPr>
    <w:rPr>
      <w:rFonts w:cs="Tahoma"/>
    </w:rPr>
  </w:style>
  <w:style w:type="paragraph" w:customStyle="1" w:styleId="WW-Stilepredefinito">
    <w:name w:val="WW-Stile predefinito"/>
    <w:pPr>
      <w:suppressAutoHyphens/>
    </w:pPr>
    <w:rPr>
      <w:color w:val="000000"/>
      <w:kern w:val="2"/>
      <w:sz w:val="24"/>
      <w:szCs w:val="24"/>
      <w:lang w:eastAsia="zh-CN"/>
    </w:rPr>
  </w:style>
  <w:style w:type="paragraph" w:customStyle="1" w:styleId="WW-Corpodeltesto">
    <w:name w:val="WW-Corpo del testo"/>
    <w:basedOn w:val="WW-Stilepredefinito"/>
    <w:pPr>
      <w:spacing w:after="120"/>
    </w:p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10">
    <w:name w:val="Intestazione10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testazione9">
    <w:name w:val="Intestazione9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testazione8">
    <w:name w:val="Intestazione8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WW-Stile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WW-Stilepredefinito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WW-Stilepredefini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WW-Stilepredefinito"/>
    <w:pPr>
      <w:suppressLineNumbers/>
      <w:spacing w:before="120" w:after="120"/>
    </w:pPr>
    <w:rPr>
      <w:rFonts w:cs="Tahoma"/>
      <w:i/>
      <w:iCs/>
    </w:rPr>
  </w:style>
  <w:style w:type="paragraph" w:customStyle="1" w:styleId="NormaleWeb1">
    <w:name w:val="Normale (Web)1"/>
    <w:basedOn w:val="WW-Stilepredefinito"/>
    <w:pPr>
      <w:spacing w:before="280" w:after="280"/>
    </w:pPr>
  </w:style>
  <w:style w:type="paragraph" w:customStyle="1" w:styleId="Testofumetto1">
    <w:name w:val="Testo fumetto1"/>
    <w:basedOn w:val="WW-Stilepredefinito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WW-Stilepredefinito"/>
  </w:style>
  <w:style w:type="paragraph" w:customStyle="1" w:styleId="Style2">
    <w:name w:val="Style 2"/>
    <w:basedOn w:val="WW-Stilepredefinito"/>
  </w:style>
  <w:style w:type="paragraph" w:customStyle="1" w:styleId="Titolo52">
    <w:name w:val="Titolo 52"/>
    <w:basedOn w:val="WW-Stilepredefinito"/>
    <w:pPr>
      <w:spacing w:before="280" w:after="75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titolo">
    <w:name w:val="titolo"/>
    <w:basedOn w:val="WW-Stilepredefinito"/>
    <w:pPr>
      <w:suppressAutoHyphens w:val="0"/>
      <w:spacing w:before="28" w:after="28"/>
    </w:pPr>
  </w:style>
  <w:style w:type="paragraph" w:customStyle="1" w:styleId="Paragrafoelenco1">
    <w:name w:val="Paragrafo elenco1"/>
    <w:basedOn w:val="WW-Stilepredefinito"/>
    <w:pPr>
      <w:ind w:left="720"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WW-Stilepredefinito"/>
    <w:pPr>
      <w:suppressLineNumbers/>
      <w:tabs>
        <w:tab w:val="center" w:pos="4819"/>
        <w:tab w:val="right" w:pos="9638"/>
      </w:tabs>
      <w:suppressAutoHyphens w:val="0"/>
    </w:pPr>
  </w:style>
  <w:style w:type="paragraph" w:styleId="Pidipagina">
    <w:name w:val="footer"/>
    <w:basedOn w:val="WW-Stilepredefinito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widowControl/>
      <w:suppressAutoHyphens w:val="0"/>
    </w:pPr>
    <w:rPr>
      <w:rFonts w:eastAsia="Times New Roman" w:cs="Times New Roman"/>
      <w:lang w:bidi="ar-SA"/>
    </w:rPr>
  </w:style>
  <w:style w:type="paragraph" w:customStyle="1" w:styleId="LO-Normal">
    <w:name w:val="LO-Normal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WW-Normal">
    <w:name w:val="WW-Normal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WW-Normal1">
    <w:name w:val="WW-Normal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WW-Normal12">
    <w:name w:val="WW-Normal12"/>
    <w:pPr>
      <w:suppressAutoHyphens/>
      <w:autoSpaceDE w:val="0"/>
    </w:pPr>
    <w:rPr>
      <w:rFonts w:ascii="Symbol" w:hAnsi="Symbol" w:cs="Symbol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WW-Normal123">
    <w:name w:val="WW-Normal123"/>
    <w:pPr>
      <w:suppressAutoHyphens/>
      <w:spacing w:line="100" w:lineRule="atLeast"/>
    </w:pPr>
    <w:rPr>
      <w:rFonts w:ascii="Century Gothic" w:eastAsia="SimSun" w:hAnsi="Century Gothic" w:cs="Century Gothic"/>
      <w:color w:val="000000"/>
      <w:kern w:val="2"/>
      <w:sz w:val="24"/>
      <w:szCs w:val="24"/>
      <w:lang w:eastAsia="zh-CN" w:bidi="hi-IN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37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Servizio fornisce consulenza all'impresa per l'accesso al credito e per la pianificazione sul reperimento delle risorse fin</vt:lpstr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Servizio fornisce consulenza all'impresa per l'accesso al credito e per la pianificazione sul reperimento delle risorse fin</dc:title>
  <dc:subject/>
  <dc:creator>Tesi</dc:creator>
  <cp:keywords/>
  <cp:lastModifiedBy>Giovanni Bocchetti</cp:lastModifiedBy>
  <cp:revision>2</cp:revision>
  <cp:lastPrinted>2023-06-14T09:16:00Z</cp:lastPrinted>
  <dcterms:created xsi:type="dcterms:W3CDTF">2023-06-16T12:03:00Z</dcterms:created>
  <dcterms:modified xsi:type="dcterms:W3CDTF">2023-06-16T12:03:00Z</dcterms:modified>
</cp:coreProperties>
</file>